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Running Head: SSE-CMM</w:t>
      </w:r>
    </w:p>
    <w:p>
      <w:pPr>
        <w:mirrorIndents w:val="true"/>
        <w:contextualSpacing w:val="true"/>
        <w:spacing w:after="0" w:line="480" w:lineRule="auto"/>
        <w:rPr>
          <w:sz w:val="24.0"/>
          <w:szCs w:val="24.0"/>
          <w:rFonts w:ascii="Times New Roman" w:cs="Times New Roman" w:hAnsi="Times New Roman"/>
        </w:rPr>
      </w:pPr>
    </w:p>
    <w:p>
      <w:pPr>
        <w:mirrorIndents w:val="true"/>
        <w:contextualSpacing w:val="true"/>
        <w:spacing w:after="0" w:line="480" w:lineRule="auto"/>
        <w:rPr>
          <w:sz w:val="24.0"/>
          <w:szCs w:val="24.0"/>
          <w:rFonts w:ascii="Times New Roman" w:cs="Times New Roman" w:hAnsi="Times New Roman"/>
        </w:rPr>
      </w:pPr>
    </w:p>
    <w:p>
      <w:pPr>
        <w:mirrorIndents w:val="true"/>
        <w:contextualSpacing w:val="true"/>
        <w:spacing w:after="0" w:line="480" w:lineRule="auto"/>
        <w:rPr>
          <w:sz w:val="24.0"/>
          <w:szCs w:val="24.0"/>
          <w:rFonts w:ascii="Times New Roman" w:cs="Times New Roman" w:hAnsi="Times New Roman"/>
        </w:rPr>
      </w:pPr>
    </w:p>
    <w:p>
      <w:pPr>
        <w:mirrorIndents w:val="true"/>
        <w:contextualSpacing w:val="true"/>
        <w:spacing w:after="0" w:line="480" w:lineRule="auto"/>
        <w:rPr>
          <w:sz w:val="24.0"/>
          <w:szCs w:val="24.0"/>
          <w:rFonts w:ascii="Times New Roman" w:cs="Times New Roman" w:hAnsi="Times New Roman"/>
        </w:rPr>
      </w:pPr>
    </w:p>
    <w:p>
      <w:pPr>
        <w:mirrorIndents w:val="true"/>
        <w:contextualSpacing w:val="true"/>
        <w:spacing w:after="0" w:line="480" w:lineRule="auto"/>
        <w:rPr>
          <w:sz w:val="24.0"/>
          <w:szCs w:val="24.0"/>
          <w:rFonts w:ascii="Times New Roman" w:cs="Times New Roman" w:hAnsi="Times New Roman"/>
        </w:rPr>
      </w:pP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SSE-CMM: Moving up the Stack</w:t>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Jered McClure</w:t>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Walden University</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br w:type="page"/>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SSE-CMM: Moving up the Stack</w:t>
      </w:r>
    </w:p>
    <w:p>
      <w:pPr>
        <w:mirrorIndents w:val="true"/>
        <w:contextualSpacing w:val="true"/>
        <w:spacing w:after="0" w:line="480" w:lineRule="auto"/>
        <w:ind w:firstLine="720"/>
        <w:rPr>
          <w:sz w:val="24.0"/>
          <w:szCs w:val="24.0"/>
          <w:rFonts w:ascii="Times New Roman" w:cs="Times New Roman" w:hAnsi="Times New Roman"/>
        </w:rPr>
      </w:pPr>
      <w:r>
        <w:rPr>
          <w:sz w:val="24.0"/>
          <w:szCs w:val="24.0"/>
          <w:rFonts w:ascii="Times New Roman" w:cs="Times New Roman" w:hAnsi="Times New Roman"/>
        </w:rPr>
        <w:t>The Systems Security Engineering Capability Maturity Model (SSE-CMM) provides five architecture levels for defining systems security maturity. These levels are initial, repeatable, defined, managed, and optimizing. Assuring that each of these levels is met for a given domain should be a priority for any security project.</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ab/>
        <w:t xml:space="preserve">The </w:t>
      </w:r>
      <w:r>
        <w:rPr>
          <w:sz w:val="24.0"/>
          <w:szCs w:val="24.0"/>
          <w:rFonts w:ascii="Times New Roman" w:cs="Times New Roman" w:hAnsi="Times New Roman"/>
        </w:rPr>
        <w:t>“I</w:t>
      </w:r>
      <w:r>
        <w:rPr>
          <w:sz w:val="24.0"/>
          <w:szCs w:val="24.0"/>
          <w:rFonts w:ascii="Times New Roman" w:cs="Times New Roman" w:hAnsi="Times New Roman"/>
        </w:rPr>
        <w:t>nitial</w:t>
      </w:r>
      <w:r>
        <w:rPr>
          <w:sz w:val="24.0"/>
          <w:szCs w:val="24.0"/>
          <w:rFonts w:ascii="Times New Roman" w:cs="Times New Roman" w:hAnsi="Times New Roman"/>
        </w:rPr>
        <w:t>”</w:t>
      </w:r>
      <w:r>
        <w:rPr>
          <w:sz w:val="24.0"/>
          <w:szCs w:val="24.0"/>
          <w:rFonts w:ascii="Times New Roman" w:cs="Times New Roman" w:hAnsi="Times New Roman"/>
        </w:rPr>
        <w:t xml:space="preserve"> </w:t>
      </w:r>
      <w:r>
        <w:rPr>
          <w:sz w:val="24.0"/>
          <w:szCs w:val="24.0"/>
          <w:rFonts w:ascii="Times New Roman" w:cs="Times New Roman" w:hAnsi="Times New Roman"/>
        </w:rPr>
        <w:t>level</w:t>
      </w:r>
      <w:r>
        <w:rPr>
          <w:sz w:val="24.0"/>
          <w:szCs w:val="24.0"/>
          <w:rFonts w:ascii="Times New Roman" w:cs="Times New Roman" w:hAnsi="Times New Roman"/>
        </w:rPr>
        <w:t xml:space="preserve"> is the beginning, where no policies and/or procedures have been put into place. This is the natural state of an organization prior to any security engineering. As such, this level has no assurances associated with it and is the level to most avoid. Essentially, being at this level means that the organization has applied no security to their system in question.</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ab/>
      </w:r>
      <w:r>
        <w:rPr>
          <w:sz w:val="24.0"/>
          <w:szCs w:val="24.0"/>
          <w:rFonts w:ascii="Times New Roman" w:cs="Times New Roman" w:hAnsi="Times New Roman"/>
        </w:rPr>
        <w:t xml:space="preserve">Being in the repeatable level means that an organization has a defined security policy and procedures for that policy. </w:t>
      </w:r>
      <w:r>
        <w:rPr>
          <w:sz w:val="24.0"/>
          <w:szCs w:val="24.0"/>
          <w:rFonts w:ascii="Times New Roman" w:cs="Times New Roman" w:hAnsi="Times New Roman"/>
        </w:rPr>
        <w:t xml:space="preserve"> Furthermore, the policy and procedures are repeatable and followed for every project within the organization. A method of showing assurance at this level is through policy and procedural documentation. That is, for each project completed, documentation which checks off each relevant policy and procedure is supplied.</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ab/>
        <w:t xml:space="preserve">In the “Defined” </w:t>
      </w:r>
      <w:r>
        <w:rPr>
          <w:sz w:val="24.0"/>
          <w:szCs w:val="24.0"/>
          <w:rFonts w:ascii="Times New Roman" w:cs="Times New Roman" w:hAnsi="Times New Roman"/>
        </w:rPr>
        <w:t>level, policies and procedures are standardized throughout an organization. That is, each domain’s policies and procedures overlap other domains, thereby removing redundancy. Assurance at this level is gained through peer reviews, training programs, and intergroup coordination</w:t>
      </w:r>
      <w:r>
        <w:rPr>
          <w:sz w:val="24.0"/>
          <w:szCs w:val="24.0"/>
          <w:rFonts w:ascii="Times New Roman" w:cs="Times New Roman" w:hAnsi="Times New Roman"/>
        </w:rPr>
        <w:fldChar w:fldCharType="begin"/>
      </w:r>
      <w:r>
        <w:rPr>
          <w:sz w:val="24.0"/>
          <w:szCs w:val="24.0"/>
          <w:rFonts w:ascii="Times New Roman" w:cs="Times New Roman" w:hAnsi="Times New Roman"/>
          <w:lang w:val="en-au"/>
        </w:rPr>
        <w:instrText xml:space="preserve"> CITATION Kar98 \l 3081 </w:instrText>
      </w:r>
      <w:r>
        <w:rPr>
          <w:sz w:val="24.0"/>
          <w:szCs w:val="24.0"/>
          <w:rFonts w:ascii="Times New Roman" w:cs="Times New Roman" w:hAnsi="Times New Roman"/>
        </w:rPr>
        <w:fldChar w:fldCharType="separate"/>
      </w:r>
      <w:r>
        <w:rPr>
          <w:sz w:val="24.0"/>
          <w:szCs w:val="24.0"/>
          <w:rFonts w:ascii="Times New Roman" w:cs="Times New Roman" w:hAnsi="Times New Roman"/>
          <w:lang w:val="en-au"/>
        </w:rPr>
        <w:t xml:space="preserve"> (Ferraiolo, 1998)</w:t>
      </w:r>
      <w:r>
        <w:rPr>
          <w:sz w:val="24.0"/>
          <w:szCs w:val="24.0"/>
          <w:rFonts w:ascii="Times New Roman" w:cs="Times New Roman" w:hAnsi="Times New Roman"/>
        </w:rPr>
        <w:fldChar w:fldCharType="end"/>
      </w:r>
      <w:r>
        <w:rPr>
          <w:sz w:val="24.0"/>
          <w:szCs w:val="24.0"/>
          <w:rFonts w:ascii="Times New Roman" w:cs="Times New Roman" w:hAnsi="Times New Roman"/>
        </w:rPr>
        <w:t>. Peer reviews provide a means for project members to voice their concerns about security and/or point out discrepancies in policy; training programs provide staff with the knowledge needed to understand security policies and procedures; finally, coordination between different groups assures policy is coherent between different security domains.</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ab/>
      </w:r>
      <w:r>
        <w:rPr>
          <w:sz w:val="24.0"/>
          <w:szCs w:val="24.0"/>
          <w:rFonts w:ascii="Times New Roman" w:cs="Times New Roman" w:hAnsi="Times New Roman"/>
        </w:rPr>
        <w:t>“Competence to manage various aspects of security engineering” defines the Managed level</w:t>
      </w:r>
      <w:r>
        <w:rPr>
          <w:sz w:val="24.0"/>
          <w:szCs w:val="24.0"/>
          <w:rFonts w:ascii="Times New Roman" w:cs="Times New Roman" w:hAnsi="Times New Roman"/>
        </w:rPr>
        <w:fldChar w:fldCharType="begin"/>
      </w:r>
      <w:r>
        <w:rPr>
          <w:sz w:val="24.0"/>
          <w:szCs w:val="24.0"/>
          <w:rFonts w:ascii="Times New Roman" w:cs="Times New Roman" w:hAnsi="Times New Roman"/>
          <w:lang w:val="en-au"/>
        </w:rPr>
        <w:instrText xml:space="preserve">CITATION Dhi07 \p 149 \l 3081 </w:instrText>
      </w:r>
      <w:r>
        <w:rPr>
          <w:sz w:val="24.0"/>
          <w:szCs w:val="24.0"/>
          <w:rFonts w:ascii="Times New Roman" w:cs="Times New Roman" w:hAnsi="Times New Roman"/>
        </w:rPr>
        <w:fldChar w:fldCharType="separate"/>
      </w:r>
      <w:r>
        <w:rPr>
          <w:sz w:val="24.0"/>
          <w:szCs w:val="24.0"/>
          <w:rFonts w:ascii="Times New Roman" w:cs="Times New Roman" w:hAnsi="Times New Roman"/>
          <w:lang w:val="en-au"/>
        </w:rPr>
        <w:t xml:space="preserve"> (Dhillon, 2007, p. 149)</w:t>
      </w:r>
      <w:r>
        <w:rPr>
          <w:sz w:val="24.0"/>
          <w:szCs w:val="24.0"/>
          <w:rFonts w:ascii="Times New Roman" w:cs="Times New Roman" w:hAnsi="Times New Roman"/>
        </w:rPr>
        <w:fldChar w:fldCharType="end"/>
      </w:r>
      <w:r>
        <w:rPr>
          <w:sz w:val="24.0"/>
          <w:szCs w:val="24.0"/>
          <w:rFonts w:ascii="Times New Roman" w:cs="Times New Roman" w:hAnsi="Times New Roman"/>
        </w:rPr>
        <w:t>. That is,</w:t>
      </w:r>
      <w:r>
        <w:rPr>
          <w:sz w:val="24.0"/>
          <w:szCs w:val="24.0"/>
          <w:rFonts w:ascii="Times New Roman" w:cs="Times New Roman" w:hAnsi="Times New Roman"/>
        </w:rPr>
        <w:t xml:space="preserve"> security engineering is </w:t>
      </w:r>
      <w:r>
        <w:rPr>
          <w:sz w:val="24.0"/>
          <w:szCs w:val="24.0"/>
          <w:rFonts w:ascii="Times New Roman" w:cs="Times New Roman" w:hAnsi="Times New Roman"/>
        </w:rPr>
        <w:t>sustained</w:t>
      </w:r>
      <w:r>
        <w:rPr>
          <w:sz w:val="24.0"/>
          <w:szCs w:val="24.0"/>
          <w:rFonts w:ascii="Times New Roman" w:cs="Times New Roman" w:hAnsi="Times New Roman"/>
        </w:rPr>
        <w:t xml:space="preserve"> </w:t>
      </w:r>
      <w:r>
        <w:rPr>
          <w:sz w:val="24.0"/>
          <w:szCs w:val="24.0"/>
          <w:rFonts w:ascii="Times New Roman" w:cs="Times New Roman" w:hAnsi="Times New Roman"/>
        </w:rPr>
        <w:t>at</w:t>
      </w:r>
      <w:r>
        <w:rPr>
          <w:sz w:val="24.0"/>
          <w:szCs w:val="24.0"/>
          <w:rFonts w:ascii="Times New Roman" w:cs="Times New Roman" w:hAnsi="Times New Roman"/>
        </w:rPr>
        <w:t xml:space="preserve"> </w:t>
      </w:r>
      <w:r>
        <w:rPr>
          <w:sz w:val="24.0"/>
          <w:szCs w:val="24.0"/>
          <w:rFonts w:ascii="Times New Roman" w:cs="Times New Roman" w:hAnsi="Times New Roman"/>
        </w:rPr>
        <w:t>owner</w:t>
      </w:r>
      <w:r>
        <w:rPr>
          <w:sz w:val="24.0"/>
          <w:szCs w:val="24.0"/>
          <w:rFonts w:ascii="Times New Roman" w:cs="Times New Roman" w:hAnsi="Times New Roman"/>
        </w:rPr>
        <w:t xml:space="preserve">, </w:t>
      </w:r>
      <w:r>
        <w:rPr>
          <w:sz w:val="24.0"/>
          <w:szCs w:val="24.0"/>
          <w:rFonts w:ascii="Times New Roman" w:cs="Times New Roman" w:hAnsi="Times New Roman"/>
        </w:rPr>
        <w:t>system</w:t>
      </w:r>
      <w:r>
        <w:rPr>
          <w:sz w:val="24.0"/>
          <w:szCs w:val="24.0"/>
          <w:rFonts w:ascii="Times New Roman" w:cs="Times New Roman" w:hAnsi="Times New Roman"/>
        </w:rPr>
        <w:t>,</w:t>
      </w:r>
      <w:r>
        <w:rPr>
          <w:sz w:val="24.0"/>
          <w:szCs w:val="24.0"/>
          <w:rFonts w:ascii="Times New Roman" w:cs="Times New Roman" w:hAnsi="Times New Roman"/>
        </w:rPr>
        <w:t xml:space="preserve"> </w:t>
      </w:r>
      <w:r>
        <w:rPr>
          <w:sz w:val="24.0"/>
          <w:szCs w:val="24.0"/>
          <w:rFonts w:ascii="Times New Roman" w:cs="Times New Roman" w:hAnsi="Times New Roman"/>
        </w:rPr>
        <w:t xml:space="preserve">and </w:t>
      </w:r>
      <w:r>
        <w:rPr>
          <w:sz w:val="24.0"/>
          <w:szCs w:val="24.0"/>
          <w:rFonts w:ascii="Times New Roman" w:cs="Times New Roman" w:hAnsi="Times New Roman"/>
        </w:rPr>
        <w:t>technical</w:t>
      </w:r>
      <w:r>
        <w:rPr>
          <w:sz w:val="24.0"/>
          <w:szCs w:val="24.0"/>
          <w:rFonts w:ascii="Times New Roman" w:cs="Times New Roman" w:hAnsi="Times New Roman"/>
        </w:rPr>
        <w:t xml:space="preserve"> </w:t>
      </w:r>
      <w:r>
        <w:rPr>
          <w:sz w:val="24.0"/>
          <w:szCs w:val="24.0"/>
          <w:rFonts w:ascii="Times New Roman" w:cs="Times New Roman" w:hAnsi="Times New Roman"/>
        </w:rPr>
        <w:t>points</w:t>
      </w:r>
      <w:r>
        <w:rPr>
          <w:sz w:val="24.0"/>
          <w:szCs w:val="24.0"/>
          <w:rFonts w:ascii="Times New Roman" w:cs="Times New Roman" w:hAnsi="Times New Roman"/>
        </w:rPr>
        <w:t xml:space="preserve">. To gain assurance at this level, </w:t>
      </w:r>
      <w:r>
        <w:rPr>
          <w:sz w:val="24.0"/>
          <w:szCs w:val="24.0"/>
          <w:rFonts w:ascii="Times New Roman" w:cs="Times New Roman" w:hAnsi="Times New Roman"/>
        </w:rPr>
        <w:t>each of these points is accurately meas</w:t>
      </w:r>
      <w:r>
        <w:rPr>
          <w:sz w:val="24.0"/>
          <w:szCs w:val="24.0"/>
          <w:rFonts w:ascii="Times New Roman" w:cs="Times New Roman" w:hAnsi="Times New Roman"/>
        </w:rPr>
        <w:t>ured using predefined metrics.</w:t>
      </w:r>
      <w:r>
        <w:rPr>
          <w:sz w:val="24.0"/>
          <w:szCs w:val="24.0"/>
          <w:rFonts w:ascii="Times New Roman" w:cs="Times New Roman" w:hAnsi="Times New Roman"/>
        </w:rPr>
        <w:t xml:space="preserve">  This ensures </w:t>
      </w:r>
      <w:r>
        <w:rPr>
          <w:sz w:val="24.0"/>
          <w:szCs w:val="24.0"/>
          <w:rFonts w:ascii="Times New Roman" w:cs="Times New Roman" w:hAnsi="Times New Roman"/>
        </w:rPr>
        <w:t xml:space="preserve">security excellence is maintained and measureable </w:t>
      </w:r>
      <w:r>
        <w:rPr>
          <w:sz w:val="24.0"/>
          <w:szCs w:val="24.0"/>
          <w:rFonts w:ascii="Times New Roman" w:cs="Times New Roman" w:hAnsi="Times New Roman"/>
        </w:rPr>
        <w:t>thereby “increasing awareness of shortcomings, pitfalls, and positive attributes of the process”</w:t>
      </w:r>
      <w:r>
        <w:rPr>
          <w:sz w:val="24.0"/>
          <w:szCs w:val="24.0"/>
          <w:rFonts w:ascii="Times New Roman" w:cs="Times New Roman" w:hAnsi="Times New Roman"/>
        </w:rPr>
        <w:fldChar w:fldCharType="begin"/>
      </w:r>
      <w:r>
        <w:rPr>
          <w:sz w:val="24.0"/>
          <w:szCs w:val="24.0"/>
          <w:rFonts w:ascii="Times New Roman" w:cs="Times New Roman" w:hAnsi="Times New Roman"/>
          <w:lang w:val="en-au"/>
        </w:rPr>
        <w:instrText xml:space="preserve">CITATION Dhi07 \p 149 \l 3081 </w:instrText>
      </w:r>
      <w:r>
        <w:rPr>
          <w:sz w:val="24.0"/>
          <w:szCs w:val="24.0"/>
          <w:rFonts w:ascii="Times New Roman" w:cs="Times New Roman" w:hAnsi="Times New Roman"/>
        </w:rPr>
        <w:fldChar w:fldCharType="separate"/>
      </w:r>
      <w:r>
        <w:rPr>
          <w:sz w:val="24.0"/>
          <w:szCs w:val="24.0"/>
          <w:rFonts w:ascii="Times New Roman" w:cs="Times New Roman" w:hAnsi="Times New Roman"/>
          <w:lang w:val="en-au"/>
        </w:rPr>
        <w:t xml:space="preserve"> (Dhillon, 2007, p. 149)</w:t>
      </w:r>
      <w:r>
        <w:rPr>
          <w:sz w:val="24.0"/>
          <w:szCs w:val="24.0"/>
          <w:rFonts w:ascii="Times New Roman" w:cs="Times New Roman" w:hAnsi="Times New Roman"/>
        </w:rPr>
        <w:fldChar w:fldCharType="end"/>
      </w:r>
      <w:r>
        <w:rPr>
          <w:sz w:val="24.0"/>
          <w:szCs w:val="24.0"/>
          <w:rFonts w:ascii="Times New Roman" w:cs="Times New Roman" w:hAnsi="Times New Roman"/>
        </w:rPr>
        <w:t>.</w:t>
      </w:r>
      <w:r>
        <w:rPr>
          <w:sz w:val="24.0"/>
          <w:szCs w:val="24.0"/>
          <w:rFonts w:ascii="Times New Roman" w:cs="Times New Roman" w:hAnsi="Times New Roman"/>
        </w:rPr>
        <w:t xml:space="preserve"> </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ab/>
        <w:t>At the final level, Optimization, all the previous levels are upheld, additionally, improvement is sought for all security policies and procedures on a constant basis. This is done through a culture of change management, e.g. any policy or procedure alteration must pass through a change management body before being implemented.</w:t>
      </w:r>
      <w:r>
        <w:rPr>
          <w:sz w:val="24.0"/>
          <w:szCs w:val="24.0"/>
          <w:rFonts w:ascii="Times New Roman" w:cs="Times New Roman" w:hAnsi="Times New Roman"/>
        </w:rPr>
        <w:t xml:space="preserve"> This safeguards the current status quo, while allowing the system security to adapt to changing environments when required. Assurance at this level is assessed through peer feedback and deterrence of security breaches, as well as, change management documentation.</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ab/>
        <w:t>This paper has defined assurance methods for each level of the SSE-CMM whereby an organization can gauge whether it has met a level of the staged CMM. The primary key at each point is a method of physically gathering evidence via documentation whereby proof is garnered that the level has been met</w:t>
      </w:r>
      <w:r>
        <w:rPr>
          <w:sz w:val="24.0"/>
          <w:szCs w:val="24.0"/>
          <w:rFonts w:ascii="Times New Roman" w:cs="Times New Roman" w:hAnsi="Times New Roman"/>
        </w:rPr>
        <w:t xml:space="preserve"> and sustained</w:t>
      </w:r>
      <w:r>
        <w:rPr>
          <w:sz w:val="24.0"/>
          <w:szCs w:val="24.0"/>
          <w:rFonts w:ascii="Times New Roman" w:cs="Times New Roman" w:hAnsi="Times New Roman"/>
        </w:rPr>
        <w:t>.</w:t>
      </w:r>
      <w:r>
        <w:rPr>
          <w:sz w:val="24.0"/>
          <w:szCs w:val="24.0"/>
          <w:rFonts w:ascii="Times New Roman" w:cs="Times New Roman" w:hAnsi="Times New Roman"/>
        </w:rPr>
        <w:t xml:space="preserve"> These assurances serve to provide a level of instruction for moving up the CMM stack without bypassing essential security requirements. In essence, no higher level is attainable in full until the previous level has been mastered.</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br w:type="page"/>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Reference</w:t>
      </w:r>
    </w:p>
    <w:p>
      <w:pPr>
        <w:pStyle w:val="Bibliography"/>
        <w:mirrorIndents w:val="true"/>
        <w:contextualSpacing w:val="true"/>
        <w:spacing w:after="0" w:line="480" w:lineRule="auto"/>
        <w:ind w:left="720" w:hanging="720"/>
        <w:rPr>
          <w:sz w:val="24.0"/>
          <w:szCs w:val="24.0"/>
          <w:rFonts w:ascii="Times New Roman" w:cs="Times New Roman" w:hAnsi="Times New Roman"/>
          <w:lang w:val="en-au"/>
        </w:rPr>
      </w:pPr>
      <w:r>
        <w:rPr>
          <w:sz w:val="24.0"/>
          <w:szCs w:val="24.0"/>
          <w:rFonts w:ascii="Times New Roman" w:cs="Times New Roman" w:hAnsi="Times New Roman"/>
        </w:rPr>
        <w:fldChar w:fldCharType="begin"/>
      </w:r>
      <w:r>
        <w:rPr>
          <w:sz w:val="24.0"/>
          <w:szCs w:val="24.0"/>
          <w:rFonts w:ascii="Times New Roman" w:cs="Times New Roman" w:hAnsi="Times New Roman"/>
          <w:lang w:val="en-au"/>
        </w:rPr>
        <w:instrText xml:space="preserve"> BIBLIOGRAPHY  \l 3081 </w:instrText>
      </w:r>
      <w:r>
        <w:rPr>
          <w:sz w:val="24.0"/>
          <w:szCs w:val="24.0"/>
          <w:rFonts w:ascii="Times New Roman" w:cs="Times New Roman" w:hAnsi="Times New Roman"/>
        </w:rPr>
        <w:fldChar w:fldCharType="separate"/>
      </w:r>
      <w:r>
        <w:rPr>
          <w:sz w:val="24.0"/>
          <w:szCs w:val="24.0"/>
          <w:rFonts w:ascii="Times New Roman" w:cs="Times New Roman" w:hAnsi="Times New Roman"/>
          <w:lang w:val="en-au"/>
        </w:rPr>
        <w:t xml:space="preserve">Dhillon, G. (2007). </w:t>
      </w:r>
      <w:r>
        <w:rPr>
          <w:i w:val="1"/>
          <w:sz w:val="24.0"/>
          <w:szCs w:val="24.0"/>
          <w:rFonts w:ascii="Times New Roman" w:cs="Times New Roman" w:hAnsi="Times New Roman"/>
          <w:lang w:val="en-au"/>
        </w:rPr>
        <w:t>Principles of Information Systems Security: Text and Cases.</w:t>
      </w:r>
      <w:r>
        <w:rPr>
          <w:sz w:val="24.0"/>
          <w:szCs w:val="24.0"/>
          <w:rFonts w:ascii="Times New Roman" w:cs="Times New Roman" w:hAnsi="Times New Roman"/>
          <w:lang w:val="en-au"/>
        </w:rPr>
        <w:t xml:space="preserve"> John Wiley &amp; Sons, Inc.</w:t>
      </w:r>
    </w:p>
    <w:p>
      <w:pPr>
        <w:pStyle w:val="Bibliography"/>
        <w:mirrorIndents w:val="true"/>
        <w:contextualSpacing w:val="true"/>
        <w:spacing w:after="0" w:line="480" w:lineRule="auto"/>
        <w:ind w:left="720" w:hanging="720"/>
        <w:rPr>
          <w:sz w:val="24.0"/>
          <w:szCs w:val="24.0"/>
          <w:rFonts w:ascii="Times New Roman" w:cs="Times New Roman" w:hAnsi="Times New Roman"/>
          <w:lang w:val="en-au"/>
        </w:rPr>
      </w:pPr>
      <w:r>
        <w:rPr>
          <w:sz w:val="24.0"/>
          <w:szCs w:val="24.0"/>
          <w:rFonts w:ascii="Times New Roman" w:cs="Times New Roman" w:hAnsi="Times New Roman"/>
          <w:lang w:val="en-au"/>
        </w:rPr>
        <w:t xml:space="preserve">Ferraiolo, K. (1998, October 7). </w:t>
      </w:r>
      <w:r>
        <w:rPr>
          <w:i w:val="1"/>
          <w:sz w:val="24.0"/>
          <w:szCs w:val="24.0"/>
          <w:rFonts w:ascii="Times New Roman" w:cs="Times New Roman" w:hAnsi="Times New Roman"/>
          <w:lang w:val="en-au"/>
        </w:rPr>
        <w:t>Tutorial: The Systems Security Engineering Capability Maturity Model.</w:t>
      </w:r>
      <w:r>
        <w:rPr>
          <w:sz w:val="24.0"/>
          <w:szCs w:val="24.0"/>
          <w:rFonts w:ascii="Times New Roman" w:cs="Times New Roman" w:hAnsi="Times New Roman"/>
          <w:lang w:val="en-au"/>
        </w:rPr>
        <w:t xml:space="preserve"> Retrieved March 22, 2013, from National Institute of Standards and Technology: http://csrc.nist.gov/nissc/1998/proceedings/tutorB5.pdf</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fldChar w:fldCharType="end"/>
      </w:r>
    </w:p>
    <w:sectPr>
      <w:headerReference w:type="default" r:id="rId8"/>
      <w:pgSz w:w="12240" w:h="15840"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Tahoma">
    <w:panose1 w:val="020B0604030504040204"/>
    <w:charset w:val="00"/>
    <w:family w:val="swiss"/>
    <w:pitch w:val="variable"/>
    <w:notTrueType w:val="true"/>
    <w:sig w:usb0="E1002EFF" w:usb1="C000605B" w:usb2="00000029" w:usb3="00000000" w:csb0="0001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Header"/>
      <w:jc w:val="right"/>
      <w:rPr>
        <w:sz w:val="24.0"/>
        <w:szCs w:val="24.0"/>
        <w:rFonts w:ascii="Times New Roman" w:cs="Times New Roman" w:hAnsi="Times New Roman"/>
      </w:rPr>
    </w:pPr>
    <w:r>
      <w:rPr>
        <w:sz w:val="24.0"/>
        <w:szCs w:val="24.0"/>
        <w:rFonts w:ascii="Times New Roman" w:cs="Times New Roman" w:hAnsi="Times New Roman"/>
      </w:rPr>
      <w:t xml:space="preserve">SSE-CMM     </w:t>
    </w:r>
    <w:r>
      <w:rPr>
        <w:sz w:val="24.0"/>
        <w:szCs w:val="24.0"/>
        <w:rFonts w:ascii="Times New Roman" w:cs="Times New Roman" w:hAnsi="Times New Roman"/>
      </w:rPr>
      <w:fldChar w:fldCharType="begin"/>
    </w:r>
    <w:r>
      <w:rPr>
        <w:sz w:val="24.0"/>
        <w:szCs w:val="24.0"/>
        <w:rFonts w:ascii="Times New Roman" w:cs="Times New Roman" w:hAnsi="Times New Roman"/>
      </w:rPr>
      <w:instrText xml:space="preserve"> PAGE   \* MERGEFORMAT </w:instrText>
    </w:r>
    <w:r>
      <w:rPr>
        <w:sz w:val="24.0"/>
        <w:szCs w:val="24.0"/>
        <w:rFonts w:ascii="Times New Roman" w:cs="Times New Roman" w:hAnsi="Times New Roman"/>
      </w:rPr>
      <w:fldChar w:fldCharType="separate"/>
    </w:r>
    <w:r>
      <w:rPr>
        <w:sz w:val="24.0"/>
        <w:szCs w:val="24.0"/>
        <w:rFonts w:ascii="Times New Roman" w:cs="Times New Roman" w:hAnsi="Times New Roman"/>
      </w:rPr>
      <w:t>1</w:t>
    </w:r>
    <w:r>
      <w:rPr>
        <w:sz w:val="24.0"/>
        <w:szCs w:val="24.0"/>
        <w:rFonts w:ascii="Times New Roman" w:cs="Times New Roman" w:hAnsi="Times New Roman"/>
      </w:rPr>
      <w:fldChar w:fldCharType="end"/>
    </w:r>
  </w:p>
  <w:p>
    <w:pPr>
      <w:pStyle w:val="Header"/>
      <w:rPr>
        <w:sz w:val="24.0"/>
        <w:szCs w:val="24.0"/>
        <w:rFonts w:ascii="Times New Roman" w:cs="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F8"/>
    <w:rsid w:val="00010D18"/>
    <w:rsid w:val="000847FD"/>
    <w:rsid w:val="00131821"/>
    <w:rsid w:val="00147956"/>
    <w:rsid w:val="002F314D"/>
    <w:rsid w:val="00351A49"/>
    <w:rsid w:val="003B3E45"/>
    <w:rsid w:val="004E5C35"/>
    <w:rsid w:val="006F1C8B"/>
    <w:rsid w:val="008D06AB"/>
    <w:rsid w:val="00A25349"/>
    <w:rsid w:val="00A67A20"/>
    <w:rsid w:val="00A7647C"/>
    <w:rsid w:val="00AF5D7F"/>
    <w:rsid w:val="00B03FD9"/>
    <w:rsid w:val="00C02F3F"/>
    <w:rsid w:val="00CE06CF"/>
    <w:rsid w:val="00DB47F5"/>
    <w:rsid w:val="00E84057"/>
    <w:rsid w:val="00ED0B4F"/>
    <w:rsid w:val="00ED5DB9"/>
    <w:rsid w:val="00EE18A1"/>
    <w:rsid w:val="00F716F8"/>
    <w:rsid w:val="00FD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Bibliography">
    <w:name w:val="Bibliography"/>
    <w:basedOn w:val="Normal"/>
    <w:uiPriority w:val="37"/>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56"/>
    <w:rPr>
      <w:rFonts w:ascii="Tahoma" w:hAnsi="Tahoma" w:cs="Tahoma"/>
      <w:sz w:val="16"/>
      <w:szCs w:val="16"/>
    </w:rPr>
  </w:style>
  <w:style w:type="paragraph" w:styleId="Bibliography">
    <w:name w:val="Bibliography"/>
    <w:basedOn w:val="Normal"/>
    <w:next w:val="Normal"/>
    <w:uiPriority w:val="37"/>
    <w:unhideWhenUsed/>
    <w:rsid w:val="00AF5D7F"/>
  </w:style>
  <w:style w:type="paragraph" w:styleId="Header">
    <w:name w:val="header"/>
    <w:basedOn w:val="Normal"/>
    <w:link w:val="HeaderChar"/>
    <w:uiPriority w:val="99"/>
    <w:unhideWhenUsed/>
    <w:rsid w:val="00AF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7F"/>
  </w:style>
  <w:style w:type="paragraph" w:styleId="Footer">
    <w:name w:val="footer"/>
    <w:basedOn w:val="Normal"/>
    <w:link w:val="FooterChar"/>
    <w:uiPriority w:val="99"/>
    <w:unhideWhenUsed/>
    <w:rsid w:val="00AF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2</b:RefOrder>
  </b:Source>
  <b:Source>
    <b:Tag>Kar98</b:Tag>
    <b:SourceType>DocumentFromInternetSite</b:SourceType>
    <b:Guid>{EF1E18E9-35E8-492C-B267-13533E9FD5A2}</b:Guid>
    <b:Author>
      <b:Author>
        <b:NameList>
          <b:Person>
            <b:Last>Ferraiolo</b:Last>
            <b:First>Karen</b:First>
          </b:Person>
        </b:NameList>
      </b:Author>
    </b:Author>
    <b:Title>Tutorial: The Systems Security Engineering Capability Maturity Model</b:Title>
    <b:InternetSiteTitle>National Institute of Standards and Technology</b:InternetSiteTitle>
    <b:Year>1998</b:Year>
    <b:Month>October</b:Month>
    <b:Day>7</b:Day>
    <b:YearAccessed>2013</b:YearAccessed>
    <b:MonthAccessed>March</b:MonthAccessed>
    <b:DayAccessed>22</b:DayAccessed>
    <b:URL>http://csrc.nist.gov/nissc/1998/proceedings/tutorB5.pdf</b:URL>
    <b:RefOrder>1</b:RefOrder>
  </b:Source>
</b:Sources>
</file>

<file path=customXml/itemProps1.xml><?xml version="1.0" encoding="utf-8"?>
<ds:datastoreItem xmlns:ds="http://schemas.openxmlformats.org/officeDocument/2006/customXml" ds:itemID="{BEA4E7E1-4DBD-4812-94A8-76F77AE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dc:creator>
  <cp:keywords/>
  <dc:description/>
  <cp:lastModifiedBy>Jered</cp:lastModifiedBy>
  <cp:revision>2</cp:revision>
  <dcterms:created xsi:type="dcterms:W3CDTF">2013-03-24T10:07:00Z</dcterms:created>
  <dcterms:modified xsi:type="dcterms:W3CDTF">2013-03-25T11:38:00Z</dcterms:modified>
</cp:coreProperties>
</file>